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仿宋" w:hAnsi="仿宋"/>
        </w:rPr>
      </w:pPr>
      <w:r>
        <w:rPr>
          <w:rFonts w:hint="eastAsia" w:ascii="黑体" w:hAnsi="黑体" w:eastAsia="黑体" w:cs="仿宋"/>
        </w:rPr>
        <w:t>附件4</w:t>
      </w:r>
    </w:p>
    <w:p>
      <w:pPr>
        <w:tabs>
          <w:tab w:val="left" w:pos="1603"/>
          <w:tab w:val="center" w:pos="4213"/>
        </w:tabs>
        <w:spacing w:line="590" w:lineRule="exact"/>
        <w:jc w:val="left"/>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lang w:eastAsia="zh-CN"/>
        </w:rPr>
        <w:tab/>
        <w:t/>
      </w:r>
      <w:r>
        <w:rPr>
          <w:rFonts w:hint="eastAsia" w:ascii="方正小标宋简体" w:hAnsi="仿宋" w:eastAsia="方正小标宋简体" w:cs="仿宋"/>
          <w:sz w:val="44"/>
          <w:szCs w:val="44"/>
          <w:lang w:eastAsia="zh-CN"/>
        </w:rPr>
        <w:tab/>
      </w:r>
      <w:bookmarkStart w:id="0" w:name="_GoBack"/>
      <w:r>
        <w:rPr>
          <w:rFonts w:hint="eastAsia" w:ascii="方正小标宋简体" w:hAnsi="仿宋" w:eastAsia="方正小标宋简体" w:cs="仿宋"/>
          <w:sz w:val="44"/>
          <w:szCs w:val="44"/>
        </w:rPr>
        <w:t>关于部分检验项目的说明</w:t>
      </w:r>
      <w:bookmarkEnd w:id="0"/>
    </w:p>
    <w:p>
      <w:pPr>
        <w:widowControl/>
        <w:shd w:val="clear" w:color="auto" w:fill="FFFFFF"/>
        <w:snapToGrid w:val="0"/>
        <w:spacing w:line="590" w:lineRule="exact"/>
        <w:rPr>
          <w:rFonts w:hint="eastAsia" w:ascii="仿宋" w:hAnsi="仿宋"/>
        </w:rPr>
      </w:pPr>
      <w:r>
        <w:rPr>
          <w:rFonts w:hint="eastAsia" w:ascii="仿宋" w:hAnsi="仿宋"/>
        </w:rPr>
        <w:t xml:space="preserve">    </w:t>
      </w:r>
    </w:p>
    <w:p>
      <w:pPr>
        <w:spacing w:line="600" w:lineRule="exact"/>
        <w:ind w:firstLine="640" w:firstLineChars="200"/>
        <w:rPr>
          <w:rFonts w:hint="eastAsia" w:ascii="黑体" w:hAnsi="黑体" w:eastAsia="黑体"/>
        </w:rPr>
      </w:pPr>
      <w:r>
        <w:rPr>
          <w:rFonts w:hint="eastAsia" w:ascii="黑体" w:hAnsi="黑体" w:eastAsia="黑体"/>
          <w:lang w:eastAsia="zh-CN"/>
        </w:rPr>
        <w:t>一</w:t>
      </w:r>
      <w:r>
        <w:rPr>
          <w:rFonts w:hint="eastAsia" w:ascii="黑体" w:hAnsi="黑体" w:eastAsia="黑体"/>
        </w:rPr>
        <w:t>、</w:t>
      </w:r>
      <w:r>
        <w:rPr>
          <w:rFonts w:hint="eastAsia" w:eastAsia="黑体"/>
          <w:sz w:val="32"/>
          <w:szCs w:val="32"/>
        </w:rPr>
        <w:t>氟虫腈</w:t>
      </w:r>
    </w:p>
    <w:p>
      <w:pPr>
        <w:widowControl/>
        <w:shd w:val="clear" w:color="auto" w:fill="FFFFFF"/>
        <w:snapToGrid w:val="0"/>
        <w:spacing w:line="590" w:lineRule="exact"/>
        <w:ind w:firstLine="640" w:firstLineChars="200"/>
        <w:rPr>
          <w:rFonts w:hint="eastAsia" w:ascii="仿宋" w:hAnsi="仿宋"/>
          <w:highlight w:val="none"/>
        </w:rPr>
      </w:pPr>
      <w:r>
        <w:rPr>
          <w:rFonts w:hint="eastAsia" w:ascii="仿宋" w:hAnsi="仿宋"/>
        </w:rPr>
        <w:t>氟虫腈是一种中毒苯基吡唑类杀虫剂，对环境极其不友好，对蜜蜂及水生生物毒性大，且在水和土壤中降解慢。不合格原因为种植过程违规使用</w:t>
      </w:r>
      <w:r>
        <w:rPr>
          <w:rFonts w:hint="eastAsia" w:ascii="仿宋" w:hAnsi="仿宋"/>
          <w:highlight w:val="none"/>
        </w:rPr>
        <w:t>。</w:t>
      </w:r>
    </w:p>
    <w:p>
      <w:pPr>
        <w:widowControl/>
        <w:shd w:val="clear" w:color="auto" w:fill="FFFFFF"/>
        <w:snapToGrid w:val="0"/>
        <w:spacing w:line="590" w:lineRule="exact"/>
        <w:ind w:firstLine="640" w:firstLineChars="200"/>
        <w:rPr>
          <w:rFonts w:hint="eastAsia" w:ascii="黑体" w:hAnsi="黑体" w:eastAsia="黑体"/>
          <w:highlight w:val="none"/>
        </w:rPr>
      </w:pPr>
      <w:r>
        <w:rPr>
          <w:rFonts w:hint="eastAsia" w:ascii="黑体" w:hAnsi="黑体" w:eastAsia="黑体"/>
          <w:highlight w:val="none"/>
          <w:lang w:eastAsia="zh-CN"/>
        </w:rPr>
        <w:t>二</w:t>
      </w:r>
      <w:r>
        <w:rPr>
          <w:rFonts w:hint="eastAsia" w:ascii="黑体" w:hAnsi="黑体" w:eastAsia="黑体"/>
          <w:highlight w:val="none"/>
        </w:rPr>
        <w:t>、</w:t>
      </w:r>
      <w:r>
        <w:rPr>
          <w:rFonts w:hint="eastAsia" w:eastAsia="黑体"/>
          <w:sz w:val="32"/>
          <w:szCs w:val="32"/>
        </w:rPr>
        <w:t>克百威</w:t>
      </w:r>
    </w:p>
    <w:p>
      <w:pPr>
        <w:widowControl/>
        <w:shd w:val="clear" w:color="auto" w:fill="FFFFFF"/>
        <w:snapToGrid w:val="0"/>
        <w:spacing w:line="590" w:lineRule="exact"/>
        <w:ind w:firstLine="640" w:firstLineChars="200"/>
        <w:rPr>
          <w:rFonts w:hint="eastAsia" w:ascii="仿宋" w:hAnsi="仿宋"/>
          <w:highlight w:val="none"/>
        </w:rPr>
      </w:pPr>
      <w:r>
        <w:rPr>
          <w:rFonts w:hint="eastAsia" w:ascii="仿宋" w:hAnsi="仿宋"/>
          <w:highlight w:val="none"/>
        </w:rPr>
        <w:t>GB 2763</w:t>
      </w:r>
      <w:r>
        <w:rPr>
          <w:rFonts w:hint="eastAsia" w:ascii="仿宋" w:hAnsi="仿宋"/>
          <w:highlight w:val="none"/>
          <w:lang w:val="en-US" w:eastAsia="zh-CN"/>
        </w:rPr>
        <w:t>-</w:t>
      </w:r>
      <w:r>
        <w:rPr>
          <w:rFonts w:hint="eastAsia" w:ascii="仿宋" w:hAnsi="仿宋"/>
          <w:highlight w:val="none"/>
        </w:rPr>
        <w:t>2016《食品安全国家标准 食品中农药最大残留限量》规定了蔬菜（马铃薯除外）中克百威最大残留限量为0.02mg/kg。克百威是高毒氨基甲酸酯类杀虫、杀线虫剂。中毒表现有头昏、头痛、乏力、面色苍白、呕吐、多汗、流涎、瞳孔缩小、视力模糊等。本次不合格的产品是豆角，不合格原因主要是种植过程中违规使用；环境污染，富集。</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lang w:eastAsia="zh-CN"/>
        </w:rPr>
        <w:t>三</w:t>
      </w:r>
      <w:r>
        <w:rPr>
          <w:rFonts w:hint="eastAsia" w:ascii="黑体" w:hAnsi="黑体" w:eastAsia="黑体"/>
        </w:rPr>
        <w:t>、</w:t>
      </w:r>
      <w:r>
        <w:rPr>
          <w:rFonts w:hint="eastAsia" w:eastAsia="黑体"/>
          <w:sz w:val="32"/>
          <w:szCs w:val="32"/>
        </w:rPr>
        <w:t>毒死蜱</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GB 2763</w:t>
      </w:r>
      <w:r>
        <w:rPr>
          <w:rFonts w:hint="eastAsia" w:ascii="仿宋" w:hAnsi="仿宋"/>
          <w:lang w:val="en-US" w:eastAsia="zh-CN"/>
        </w:rPr>
        <w:t>-</w:t>
      </w:r>
      <w:r>
        <w:rPr>
          <w:rFonts w:hint="eastAsia" w:ascii="仿宋" w:hAnsi="仿宋"/>
        </w:rPr>
        <w:t>2016《食品安全国家标准 食品中农药最大残留限量》规定普通白菜最大残留限量为0.1mg/kg。毒死蜱是中等毒性有机磷杀虫、杀螨剂。人中毒可能会出现抽搐、痉挛、恶心、呕吐等症状。本次不合格的产品是上海青，不合格原因主要是种植过程违规使用。</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lang w:eastAsia="zh-CN"/>
        </w:rPr>
        <w:t>四</w:t>
      </w:r>
      <w:r>
        <w:rPr>
          <w:rFonts w:hint="eastAsia" w:ascii="黑体" w:hAnsi="黑体" w:eastAsia="黑体"/>
        </w:rPr>
        <w:t>、</w:t>
      </w:r>
      <w:r>
        <w:rPr>
          <w:rFonts w:hint="eastAsia" w:ascii="黑体" w:hAnsi="黑体" w:eastAsia="黑体"/>
          <w:lang w:eastAsia="zh-CN"/>
        </w:rPr>
        <w:t>酒精度</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酒精度（Alcohol% by volume）。酒精度是指在20℃条件下，每100毫升酒液中含有多少毫升的乙醇。产品明示质量标准及质量要求规定，酒精度含量应符合其标签明示值±1.0度。酒精度不合格主要原因可能是企业对产品质量控制不严、包装不严密造成酒精挥发损失、低度酒冒充高度酒等。</w:t>
      </w:r>
    </w:p>
    <w:p>
      <w:pPr>
        <w:widowControl/>
        <w:shd w:val="clear" w:color="auto" w:fill="FFFFFF"/>
        <w:snapToGrid w:val="0"/>
        <w:spacing w:line="590" w:lineRule="exact"/>
        <w:ind w:firstLine="640" w:firstLineChars="200"/>
        <w:rPr>
          <w:rFonts w:hint="eastAsia" w:ascii="黑体" w:hAnsi="黑体" w:eastAsia="黑体"/>
        </w:rPr>
      </w:pPr>
      <w:r>
        <w:rPr>
          <w:rFonts w:hint="eastAsia" w:ascii="黑体" w:hAnsi="黑体" w:eastAsia="黑体"/>
          <w:lang w:eastAsia="zh-CN"/>
        </w:rPr>
        <w:t>五</w:t>
      </w:r>
      <w:r>
        <w:rPr>
          <w:rFonts w:hint="eastAsia" w:ascii="黑体" w:hAnsi="黑体" w:eastAsia="黑体"/>
        </w:rPr>
        <w:t>、苯甲酸及其钠盐</w:t>
      </w:r>
    </w:p>
    <w:p>
      <w:pPr>
        <w:widowControl/>
        <w:shd w:val="clear" w:color="auto" w:fill="FFFFFF"/>
        <w:snapToGrid w:val="0"/>
        <w:spacing w:line="590" w:lineRule="exact"/>
        <w:ind w:firstLine="640" w:firstLineChars="200"/>
        <w:rPr>
          <w:rFonts w:hint="eastAsia" w:ascii="仿宋" w:hAnsi="仿宋"/>
        </w:rPr>
      </w:pPr>
      <w:r>
        <w:rPr>
          <w:rFonts w:hint="eastAsia" w:ascii="仿宋" w:hAnsi="仿宋"/>
        </w:rPr>
        <w:t>苯甲酸及其钠盐是食品工业中常见的一种防腐保鲜剂，对霉菌、酵母和细菌有较好的抑制作用。《食品安全国家标准食品添加剂使用标准》（GB 2760</w:t>
      </w:r>
      <w:r>
        <w:rPr>
          <w:rFonts w:hint="eastAsia" w:ascii="仿宋" w:hAnsi="仿宋"/>
          <w:lang w:val="en-US" w:eastAsia="zh-CN"/>
        </w:rPr>
        <w:t>-</w:t>
      </w:r>
      <w:r>
        <w:rPr>
          <w:rFonts w:hint="eastAsia" w:ascii="仿宋" w:hAnsi="仿宋"/>
        </w:rPr>
        <w:t>2014）中规定，</w:t>
      </w:r>
      <w:r>
        <w:rPr>
          <w:rFonts w:hint="eastAsia" w:ascii="仿宋" w:hAnsi="仿宋"/>
          <w:lang w:eastAsia="zh-CN"/>
        </w:rPr>
        <w:t>水果制品</w:t>
      </w:r>
      <w:r>
        <w:rPr>
          <w:rFonts w:hint="eastAsia" w:ascii="仿宋" w:hAnsi="仿宋"/>
        </w:rPr>
        <w:t>中苯甲酸及其钠盐</w:t>
      </w:r>
      <w:r>
        <w:rPr>
          <w:rFonts w:hint="eastAsia" w:ascii="仿宋" w:hAnsi="仿宋"/>
          <w:lang w:eastAsia="zh-CN"/>
        </w:rPr>
        <w:t>最大允许限为0.5g/kg</w:t>
      </w:r>
      <w:r>
        <w:rPr>
          <w:rFonts w:hint="eastAsia" w:ascii="仿宋" w:hAnsi="仿宋"/>
        </w:rPr>
        <w:t>。苯甲酸及其钠盐的安全性较高，少量苯甲酸对人体无毒害，可随尿液排出体外，在人体内不会蓄积。若长期过量食入苯甲酸超标的食品可能会对肝脏功能产生一定影响。</w:t>
      </w:r>
    </w:p>
    <w:p>
      <w:pPr>
        <w:widowControl/>
        <w:shd w:val="clear" w:color="auto" w:fill="FFFFFF"/>
        <w:snapToGrid w:val="0"/>
        <w:spacing w:line="590" w:lineRule="exact"/>
        <w:ind w:firstLine="640" w:firstLineChars="200"/>
        <w:rPr>
          <w:rFonts w:hint="eastAsia" w:ascii="黑体" w:hAnsi="黑体" w:eastAsia="黑体"/>
          <w:highlight w:val="none"/>
        </w:rPr>
      </w:pPr>
      <w:r>
        <w:rPr>
          <w:rFonts w:hint="eastAsia" w:ascii="黑体" w:hAnsi="黑体" w:eastAsia="黑体"/>
          <w:highlight w:val="none"/>
          <w:lang w:eastAsia="zh-CN"/>
        </w:rPr>
        <w:t>六</w:t>
      </w:r>
      <w:r>
        <w:rPr>
          <w:rFonts w:hint="eastAsia" w:ascii="黑体" w:hAnsi="黑体" w:eastAsia="黑体"/>
          <w:highlight w:val="none"/>
        </w:rPr>
        <w:t>、</w:t>
      </w:r>
      <w:r>
        <w:rPr>
          <w:rFonts w:hint="eastAsia" w:ascii="黑体" w:hAnsi="黑体" w:eastAsia="黑体"/>
        </w:rPr>
        <w:t>二氧化硫残留量</w:t>
      </w:r>
    </w:p>
    <w:p>
      <w:pPr>
        <w:widowControl/>
        <w:shd w:val="clear" w:color="auto" w:fill="FFFFFF"/>
        <w:snapToGrid w:val="0"/>
        <w:spacing w:line="590" w:lineRule="exact"/>
        <w:ind w:firstLine="640" w:firstLineChars="200"/>
        <w:rPr>
          <w:rFonts w:hint="eastAsia" w:ascii="仿宋" w:hAnsi="仿宋"/>
          <w:highlight w:val="none"/>
        </w:rPr>
      </w:pPr>
      <w:r>
        <w:rPr>
          <w:rFonts w:hint="eastAsia" w:ascii="宋体" w:hAnsi="宋体" w:cs="宋体"/>
          <w:kern w:val="0"/>
          <w:sz w:val="32"/>
          <w:szCs w:val="32"/>
          <w:highlight w:val="none"/>
        </w:rPr>
        <w:t>二氧化硫是一种毒性低的化合物，可溶于水中。在一般食用情况下，二氧化硫不会对人体健康造成不良影响。但对二氧化硫有过敏反应的人，则可能会出现气喘、头痛或恶心等过敏症状。检出二氧化硫残留量的原因可能是生产企业违规使用硫磺、亚硫酸盐、焦亚硫酸盐等含硫添加剂；生产过程控制不严或超限量使用；使用硫磺熏过的原料也可能带入二氧化硫残留</w:t>
      </w:r>
      <w:r>
        <w:rPr>
          <w:rFonts w:hint="eastAsia" w:ascii="仿宋" w:hAnsi="仿宋"/>
          <w:highlight w:val="none"/>
        </w:rPr>
        <w:t>。</w:t>
      </w:r>
    </w:p>
    <w:p>
      <w:pPr>
        <w:widowControl/>
        <w:shd w:val="clear" w:color="auto" w:fill="FFFFFF"/>
        <w:snapToGrid w:val="0"/>
        <w:spacing w:line="590" w:lineRule="exact"/>
        <w:ind w:firstLine="640" w:firstLineChars="200"/>
        <w:rPr>
          <w:rFonts w:hint="eastAsia" w:ascii="黑体" w:hAnsi="黑体" w:eastAsia="黑体"/>
          <w:highlight w:val="none"/>
        </w:rPr>
      </w:pPr>
      <w:r>
        <w:rPr>
          <w:rFonts w:hint="eastAsia" w:ascii="黑体" w:hAnsi="黑体" w:eastAsia="黑体"/>
          <w:highlight w:val="none"/>
          <w:lang w:eastAsia="zh-CN"/>
        </w:rPr>
        <w:t>七</w:t>
      </w:r>
      <w:r>
        <w:rPr>
          <w:rFonts w:hint="eastAsia" w:ascii="黑体" w:hAnsi="黑体" w:eastAsia="黑体"/>
          <w:highlight w:val="none"/>
        </w:rPr>
        <w:t>、</w:t>
      </w:r>
      <w:r>
        <w:rPr>
          <w:rFonts w:hint="eastAsia" w:ascii="黑体" w:hAnsi="黑体" w:eastAsia="黑体"/>
        </w:rPr>
        <w:t>菌落总数</w:t>
      </w:r>
    </w:p>
    <w:p>
      <w:pPr>
        <w:widowControl/>
        <w:shd w:val="clear" w:color="auto" w:fill="FFFFFF"/>
        <w:snapToGrid w:val="0"/>
        <w:spacing w:line="590" w:lineRule="exact"/>
        <w:ind w:firstLine="640" w:firstLineChars="200"/>
        <w:rPr>
          <w:rFonts w:hint="eastAsia" w:ascii="仿宋" w:hAnsi="仿宋"/>
          <w:highlight w:val="none"/>
        </w:rPr>
      </w:pPr>
      <w:r>
        <w:rPr>
          <w:rFonts w:hint="eastAsia" w:ascii="仿宋" w:hAnsi="仿宋"/>
        </w:rPr>
        <w:t>菌落总数是用以判定食品被细菌污染的程度，反映食品的新鲜程度和卫生状况的重要微生物指标之一。如果食品的菌落总数严重超标，说明其产品的卫生状况达不到基本的卫生要求，将会破坏食品的营养成分，加速食品的腐败变质，使食品失去食用价值。消费者食用微生物超标严重的食品，很容易患痢疾等肠道疾病，可能引起呕吐、腹泻等症状，危害人体健康安全。原料、加工场所、包装等食品加工环节受到污染是直接导致菌落总数不合格的主要原因：①杀菌温度、时间控制不当；②生产环境以及设施消毒灭菌不彻底，生产车间卫生条件不满足生产的要求，空气洁净度难以保证，造成大量微生物在车间繁殖，因此产品极容易受到污染；③企业本身的生产硬件条件非常有限，人员操作不卫生、生产过程不规范等原因造成产品的污染；④使用受污染的原材料；⑤产品贮藏、运输环节控制不力、质量把关不严，质量得不到控制</w:t>
      </w:r>
      <w:r>
        <w:rPr>
          <w:rFonts w:hint="eastAsia" w:ascii="仿宋" w:hAnsi="仿宋"/>
          <w:highlight w:val="none"/>
        </w:rPr>
        <w:t>。</w:t>
      </w:r>
    </w:p>
    <w:p>
      <w:pPr>
        <w:widowControl/>
        <w:shd w:val="clear" w:color="auto" w:fill="FFFFFF"/>
        <w:snapToGrid w:val="0"/>
        <w:spacing w:line="590" w:lineRule="exact"/>
        <w:ind w:firstLine="640" w:firstLineChars="200"/>
        <w:rPr>
          <w:rFonts w:hint="eastAsia" w:ascii="黑体" w:hAnsi="黑体" w:eastAsia="黑体"/>
          <w:highlight w:val="none"/>
        </w:rPr>
      </w:pPr>
      <w:r>
        <w:rPr>
          <w:rFonts w:hint="eastAsia" w:ascii="黑体" w:hAnsi="黑体" w:eastAsia="黑体"/>
          <w:highlight w:val="none"/>
          <w:lang w:eastAsia="zh-CN"/>
        </w:rPr>
        <w:t>八</w:t>
      </w:r>
      <w:r>
        <w:rPr>
          <w:rFonts w:hint="eastAsia" w:ascii="黑体" w:hAnsi="黑体" w:eastAsia="黑体"/>
          <w:highlight w:val="none"/>
        </w:rPr>
        <w:t>、</w:t>
      </w:r>
      <w:r>
        <w:rPr>
          <w:rFonts w:hint="eastAsia" w:ascii="黑体" w:hAnsi="黑体" w:eastAsia="黑体"/>
        </w:rPr>
        <w:t>大肠菌群</w:t>
      </w:r>
    </w:p>
    <w:p>
      <w:pPr>
        <w:widowControl/>
        <w:shd w:val="clear" w:color="auto" w:fill="FFFFFF"/>
        <w:snapToGrid w:val="0"/>
        <w:spacing w:line="590" w:lineRule="exact"/>
        <w:ind w:firstLine="640" w:firstLineChars="200"/>
        <w:rPr>
          <w:rFonts w:hint="eastAsia" w:ascii="仿宋" w:hAnsi="仿宋"/>
          <w:highlight w:val="none"/>
        </w:rPr>
      </w:pPr>
      <w:r>
        <w:rPr>
          <w:rFonts w:hint="eastAsia" w:ascii="仿宋" w:hAnsi="仿宋"/>
        </w:rPr>
        <w:t>大肠菌群是国内外通用的食品污染常用指示菌之一。食品中检出大肠菌群，提示被致病菌(如沙门氏菌、志贺氏菌、致病性大肠杆菌)污染的可能性较大。本次检出大肠菌群不符合产品明示标准及质量要求，未检出致病菌，结合居民膳食结构、抽检情况等因素综合分析，健康风险较低，但反映该食品卫生状况不达标。大肠菌群超标可能由于产品的加工原料、包装材料受污染，或在生产过程中产品受人员、工器具等生产设备、环境的污染、有灭菌工艺的产品灭菌不彻底而导致</w:t>
      </w:r>
      <w:r>
        <w:rPr>
          <w:rFonts w:hint="eastAsia" w:ascii="仿宋" w:hAnsi="仿宋"/>
          <w:highlight w:val="none"/>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F77C8D"/>
    <w:rsid w:val="40F77C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2018-11-16T01:42:00Z</dcterms:created>
  <dc:creator>陆江成</dc:creator>
  <cp:lastModifiedBy>陆江成</cp:lastModifiedBy>
  <dcterms:modified xsi:type="dcterms:W3CDTF">2018-11-16T01:43:14Z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